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rPr>
          <w:rFonts w:ascii="Arial" w:hAnsi="Arial" w:cs="Arial"/>
          <w:b/>
          <w:b/>
          <w:sz w:val="28"/>
        </w:rPr>
      </w:pPr>
      <w:r>
        <w:rPr>
          <w:rFonts w:cs="Arial" w:ascii="Arial" w:hAnsi="Arial"/>
          <w:b/>
          <w:sz w:val="28"/>
        </w:rPr>
        <w:t xml:space="preserve">Godišnji izvedbeni kurikul za </w:t>
      </w:r>
      <w:r>
        <w:rPr>
          <w:rFonts w:cs="Arial" w:ascii="Arial" w:hAnsi="Arial"/>
          <w:b/>
          <w:i/>
          <w:sz w:val="28"/>
        </w:rPr>
        <w:t>Kemiju</w:t>
      </w:r>
      <w:r>
        <w:rPr>
          <w:rFonts w:cs="Arial" w:ascii="Arial" w:hAnsi="Arial"/>
          <w:b/>
          <w:sz w:val="28"/>
        </w:rPr>
        <w:t xml:space="preserve"> u 8. razredu osnovne škole za nastavnu godinu 202</w:t>
      </w:r>
      <w:r>
        <w:rPr>
          <w:rFonts w:cs="Arial" w:ascii="Arial" w:hAnsi="Arial"/>
          <w:b/>
          <w:sz w:val="28"/>
        </w:rPr>
        <w:t>4</w:t>
      </w:r>
      <w:r>
        <w:rPr>
          <w:rFonts w:cs="Arial" w:ascii="Arial" w:hAnsi="Arial"/>
          <w:b/>
          <w:sz w:val="28"/>
        </w:rPr>
        <w:t>./202</w:t>
      </w:r>
      <w:r>
        <w:rPr>
          <w:rFonts w:cs="Arial" w:ascii="Arial" w:hAnsi="Arial"/>
          <w:b/>
          <w:sz w:val="28"/>
        </w:rPr>
        <w:t>5</w:t>
      </w:r>
      <w:r>
        <w:rPr>
          <w:rFonts w:cs="Arial" w:ascii="Arial" w:hAnsi="Arial"/>
          <w:b/>
          <w:sz w:val="28"/>
        </w:rPr>
        <w:t>.</w:t>
      </w:r>
    </w:p>
    <w:p>
      <w:pPr>
        <w:pStyle w:val="Normal"/>
        <w:spacing w:before="0" w:after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  <w:t>Željka Deranja OŠ Petra Lorinia Sali</w:t>
      </w:r>
    </w:p>
    <w:p>
      <w:pPr>
        <w:pStyle w:val="Normal"/>
        <w:spacing w:before="0" w:after="0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</w:rPr>
      </w:r>
    </w:p>
    <w:p>
      <w:pPr>
        <w:pStyle w:val="Normal"/>
        <w:spacing w:before="0" w:after="0"/>
        <w:rPr>
          <w:sz w:val="20"/>
          <w:szCs w:val="20"/>
        </w:rPr>
      </w:pPr>
      <w:r>
        <w:rPr>
          <w:rFonts w:cs="Arial" w:ascii="Arial" w:hAnsi="Arial"/>
          <w:b/>
          <w:sz w:val="20"/>
          <w:szCs w:val="20"/>
        </w:rPr>
        <w:t>KONCEPTI</w:t>
        <w:br/>
      </w:r>
      <w:r>
        <w:rPr>
          <w:rFonts w:cs="Arial" w:ascii="Arial" w:hAnsi="Arial"/>
          <w:sz w:val="20"/>
          <w:szCs w:val="20"/>
        </w:rPr>
        <w:t>A. Tvari; B. Promjene i procesi; C. Energija; D. Prirodoznanstveni pristup</w:t>
      </w:r>
    </w:p>
    <w:p>
      <w:pPr>
        <w:pStyle w:val="Normal"/>
        <w:spacing w:before="0" w:after="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>Kratice za međupredmetne teme: odr – održivi razvoj, ikt – informacijsko-komunikacijska tehnologija, uku – učiti kako učiti, osr – osobni i socijalni razvoj, pod – poduzetništvo, z – zdravlje, goo – građanski odgoj i obrazovanje</w:t>
      </w:r>
    </w:p>
    <w:p>
      <w:pPr>
        <w:pStyle w:val="Normal"/>
        <w:spacing w:before="0" w:after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tbl>
      <w:tblPr>
        <w:tblStyle w:val="TableGrid"/>
        <w:tblW w:w="15513" w:type="dxa"/>
        <w:jc w:val="left"/>
        <w:tblInd w:w="-54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44"/>
        <w:gridCol w:w="1700"/>
        <w:gridCol w:w="732"/>
        <w:gridCol w:w="2443"/>
        <w:gridCol w:w="5335"/>
        <w:gridCol w:w="4058"/>
      </w:tblGrid>
      <w:tr>
        <w:trPr/>
        <w:tc>
          <w:tcPr>
            <w:tcW w:w="1244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Mjesec (broj sati)</w:t>
            </w:r>
          </w:p>
        </w:tc>
        <w:tc>
          <w:tcPr>
            <w:tcW w:w="1700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Tematska cjelina</w:t>
            </w:r>
          </w:p>
        </w:tc>
        <w:tc>
          <w:tcPr>
            <w:tcW w:w="732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Broj sata</w:t>
            </w:r>
          </w:p>
        </w:tc>
        <w:tc>
          <w:tcPr>
            <w:tcW w:w="2443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Nastavna tema</w:t>
            </w:r>
          </w:p>
        </w:tc>
        <w:tc>
          <w:tcPr>
            <w:tcW w:w="5335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Odgojno-obrazovni ishodi</w:t>
            </w:r>
          </w:p>
        </w:tc>
        <w:tc>
          <w:tcPr>
            <w:tcW w:w="4058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Očekivanja međupredmetnih tema</w:t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IX. (8)</w:t>
            </w:r>
          </w:p>
        </w:tc>
        <w:tc>
          <w:tcPr>
            <w:tcW w:w="1700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1. Građa tvari – molekule i ioni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Uvodni sat</w:t>
            </w:r>
          </w:p>
        </w:tc>
        <w:tc>
          <w:tcPr>
            <w:tcW w:w="533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A.8.1. Primjenjuje kemijsko nazivlje i simboliku za opisivanje sastava tvari.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Razlikuje molekule elementarne tvari i kemijskoga spoja te ione (katione, anione).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Određuje valencije atoma na temelju položaja kemijskoga elementa u periodnome sustavu elemenata.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kemijskim formulama elementarne tvari i kemijske spojeve.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Imenuje anorganske spojeve i organske spojeve prikazane kemijskim formulama.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Uočava različite strukture organskih i anorganskih spojeva i povezuje s njihovim makroskopskim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A.8.2. Povezuje građu tvari s njihovim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Opisuje građu iona, molekula elementarnih tvari i kemijskih spojeva.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Povezuje čestičnu građu (molekule i formulske jedinke) anorganskih i organskih tvari s njihovim fizikalnim i kemijskim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D.8.1. Povezuje rezultate i zaključke istraživanja s konceptualnim spoznajama.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Izvodi pokuse u okviru koncepata: Tvari, Promjene i procesi, Energija.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D.8.2. Primjenjuje matematička znanja i vještine.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Izračunava broj subatomskih čestica u ionu.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D.8.3. Uočava zakonitosti uopćavanjem podataka prikazanih tekstom, crtežom, modelima,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podatke prikupljene pokusima i/ili radom na tekstu, novim tekstom,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Interpretira različite vrste brojčanih, tabličnih i grafičkih podataka te prenosi jednu vrstu prikaza u drugu. Prikazuje modelima čestičnu građu tvari.</w:t>
            </w:r>
          </w:p>
        </w:tc>
        <w:tc>
          <w:tcPr>
            <w:tcW w:w="405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3.1. Učenik samostalno odabire odgovarajuću digitalnu tehnologiju.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3.2. Učenik se samostalno koristi raznim uređajima i programima.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C 3.3.Učenik samostalno ili uz manju pomoć učitelja procjenjuje i odabire potrebne informacije između pronađenih informacija.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 3.1. Objašnjava osnovne sastavnice prirodne raznolikosti.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3.1. Učenik samostalno traži nove informacije iz različitih izvora, transformira ih u novo znanje i uspješno primjenjuje pri rješavanju problema.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3.2. Učenik se koristi različitim strategijama učenja i samostalno ih primjenjuje u ostvarivanju ciljeva učenja i rješavanju problema u svim područjima učenja.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B 3.4. Učenik samovrednuje proces učenja i svoje rezultate, procjenjuje ostvareni napredak te na temelju toga planira buduće učenje.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 gradiva sedmog razreda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Kemijski elementi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Molekule elementarnih tvari i kemijskih spojeva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7.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Ioni i ionski spojevi Ponavljanje i vježbanje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8.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X. (8)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9.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10.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Prva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 xml:space="preserve"> pisana provjera 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znanja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11.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Analiza pisane provjere i refleksija učenika; prezentacija obrade međupredmetne teme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cs="Calibri" w:cstheme="minorHAnsi"/>
                <w:b/>
                <w:sz w:val="22"/>
                <w:szCs w:val="24"/>
              </w:rPr>
            </w:r>
          </w:p>
        </w:tc>
        <w:tc>
          <w:tcPr>
            <w:tcW w:w="1700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2. Osnove kemijskog računa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12.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Relativna atomska masa</w:t>
            </w:r>
          </w:p>
        </w:tc>
        <w:tc>
          <w:tcPr>
            <w:tcW w:w="533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A.8.1. Primjenjuje kemijsko nazivlje i simboliku za opisivanje sastava tvari.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Razlikuje relativnu atomsku i molekulsku masu.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D.8.2. Primjenjuje matematička znanja i vještine.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Izračunava relativnu molekulsku masu.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Izračunava maseni udio pojedinih vrsta atoma u spoju iz poznate molekulske formule spoja.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Izračunava empirijsku formulu spoja na temelju poznatih masenih udjela elemenata u spoju.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D.8.3. Uočava zakonitosti uopćavanjem podataka prikazanih tekstom, crtežom, modelima,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podatke prikupljene pokusima i/ili radom na tekstu, novim tekstom,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Interpretira različite vrste brojčanih, tabličnih i grafičkih podataka te prenosi jednu vrstu prikaza u drugu.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modelima čestičnu građu tvari.</w:t>
            </w:r>
          </w:p>
        </w:tc>
        <w:tc>
          <w:tcPr>
            <w:tcW w:w="405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3.1. Učenik samostalno odabire odgovarajuću digitalnu tehnologiju.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3.2. Učenik se samostalno koristi raznim uređajima i programima.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C 3.3. Učenik samostalno ili uz manju pomoć učitelja procjenjuje i odabire potrebne informacije između pronađenih informacija.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3.1. Učenik samostalno traži nove informacije iz različitih izvora, transformira ih u novo znanje i uspješno primjenjuje pri rješavanju problema.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3.2. Učenik se koristi različitim strategijama učenja i samostalno ih primjenjuje u ostvarivanju ciljeva učenja i rješavanju problema u svim područjima učenja.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B 3.4. Učenik samovrednuje proces učenja i svoje rezultate, procjenjuje ostvareni napredak te na temelju toga planira buduće učenje.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13.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14.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Relativna molekulska masa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15.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16.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Maseni udio elementa u spoju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XI. (8)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17.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18.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19.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Određivanje formule spoja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20.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21.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 i vježbanje primjene matematičkih vještina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22.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Druga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 xml:space="preserve"> pisana provjera 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znanja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23.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Analiza pisane provjere i refleksija učenika; prezentacija obrade međupredmetne teme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>
          <w:trHeight w:val="109" w:hRule="atLeast"/>
        </w:trPr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cs="Calibri" w:cstheme="minorHAnsi"/>
                <w:b/>
                <w:sz w:val="22"/>
                <w:szCs w:val="24"/>
              </w:rPr>
            </w:r>
          </w:p>
        </w:tc>
        <w:tc>
          <w:tcPr>
            <w:tcW w:w="1700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3. Kemijske promjene i svojstva tvari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24.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Brzina kemijske reakcije</w:t>
            </w:r>
          </w:p>
        </w:tc>
        <w:tc>
          <w:tcPr>
            <w:tcW w:w="533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A.8.2. Povezuje građu tvari s njihovim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Opisuje građu iona, molekula elementarnih tvari i kemijskih spojeva.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Povezuje čestičnu građu (molekule i formulske jedinke) anorganskih i organskih tvari s njihovim fizikalnim i kemijskim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A.8.3. Kritički razmatra upotrebu tvari i njihov utjecaj na čovjekovo zdravlje i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Kritički razmatra upotrebu tvari i njihov utjecaj na čovjekovo zdravlje i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B.8.1. Primjenjuje kemijsko nazivlje i simboliku za opisivanje promjena.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Razlikuje fizikalne i kemijske promjene opisane kemijskim nazivljem i simbolikom.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Jednadžbama kemijske reakcije prikazuje kemijske promjene. Označava agregacijska stanja tvari u kemijskim jednadžbama.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Iskazuje kvalitativno i kvantitativno značenje jednadžbe kemijskih reakcija.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Povezuje jednadžbu kemijske reakcije sa zakonom o očuvanju mase.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Koristi se kemijskim nazivljem i simbolikom za objašnjavanje promjena na makroskopskoj i čestičnoj razini.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B.8.2. Analizira vrste kemijskih reakcija.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B.8.3. Analizira brzine kemijskih promjena.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Analizira brzine različitih kemijskih promjena.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Istražuje utjecaj različitih čimbenika na brzinu kemijske reakcije.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C.8.1. Analizira izmjene energije pri fizikalnim i kemijskim promjenama na čestičnoj razini.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Opisuje pretvorbe i izmjene energije pri fizikalnim i kemijskim promjenama na primjerima kemijskih reakcja.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Analizira pretvorbe i izmjene energije pri fizikalnim i kemijskim promjenama na čestičnoj razini.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C.8.2. Procjenjuje učinkovitost i utjecaj različitih izvora energije na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Zaključuje o prednostima i nedostatcima različitih izvora energije (fosilna goriva, alternativni izvori energije).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Navodi prednosti i nedostatke različitih izvora energije.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Objašnjava utjecaj odgovorne i neodgovorne uporabe fosilnih goriva na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D.8.1. Povezuje rezultate i zaključke istraživanja s konceptualnim spoznajama.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Izvodi pokuse u okviru koncepata: Tvari, Promjene i procesi, Energija.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D.8.3. Uočava zakonitosti uopćavanjem podataka prikazanih tekstom, crtežom, modelima,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podatke prikupljene pokusima i/ili radom na tekstu, novim tekstom,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Interpretira različite vrste brojčanih, tabličnih i grafičkih podataka te prenosi jednu vrstu prikaza u drugu.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modelima čestičnu građu tvari</w:t>
            </w:r>
          </w:p>
        </w:tc>
        <w:tc>
          <w:tcPr>
            <w:tcW w:w="405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3.1. Učenik samostalno odabire odgovarajuću digitalnu tehnologiju.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3.2. Učenik se samostalno koristi raznim uređajima i programima.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C 3.3. Učenik samostalno ili uz manju pomoć učitelja procjenjuje i odabire potrebne informacije između pronađenih informacija.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A.3.1. Objašnjava osnovne sastavnice prirodne raznolikosti.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A.3.3. Razmatra uzroke ugroženosti prirode.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Kemija: onečišćenje tla, vode i zraka (kisele kiše, staklenički plinovi, pesticidi...)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A.3.4. Objašnjava povezanost ekonomskih aktivnosti sa stanjem u okolišu i društvu.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C.3.1. Može objasniti kako stanje u okolišu utječe na dobrobit.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3.1. Učenik samostalno traži nove informacije iz različitih izvora, transformira ih u novo znanje i uspješno primjenjuje pri rješavanju problema.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3.2. Učenik se koristi različitim strategijama učenja i samostalno ih primjenjuje u ostvarivanju ciljeva učenja i rješavanju problema u svim područjima učenja.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B 3.4. Učenik samovrednuje proces učenja i svoje rezultate, procjenjuje ostvareni napredak te na temelju toga planira buduće učenje.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XII. (6)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25.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26.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Sumpor i njegovi spojevi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27.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28.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Što su kiseline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29.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30.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Vrednovanje; Analiza uspjeha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I. (7)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31.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32.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Kalcij i njegovi spojevi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33.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34.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35.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Što su hidroksidi, a što lužine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36.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37.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Što su soli i kako nastaju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II. (6)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38.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>
          <w:trHeight w:val="596" w:hRule="atLeast"/>
        </w:trPr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39.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40.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 i vježbanje primjene matematičkih vještina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41.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Treća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 xml:space="preserve"> pisana provjera 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znanja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42.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Analiza pisane provjere i refleksija učenika; prezentacija obrade međupredmetne teme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43.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Ugljik i anorganski spojevi ugljika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>
          <w:trHeight w:val="371" w:hRule="atLeast"/>
        </w:trPr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III. (7)</w:t>
            </w:r>
          </w:p>
        </w:tc>
        <w:tc>
          <w:tcPr>
            <w:tcW w:w="1700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4. Kemija ugljikovih spojeva</w:t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44.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Ugljik i anorganski spojevi ugljika</w:t>
            </w:r>
          </w:p>
        </w:tc>
        <w:tc>
          <w:tcPr>
            <w:tcW w:w="5335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A.8.1. Primjenjuje kemijsko nazivlje i simboliku za opisivanje sastava tvari.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kemijskim formulama elementarne tvari i kemijske spojeve.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Imenuje anorganske spojeve i organske spojeve prikazane kemijskim formulama.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Uočava različite strukture organskih i anorganskih spojeva i povezuje s njihovim makroskopskim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A.8.2. Povezuje građu tvari s njihovim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Opisuje građu iona, molekula elementarnih tvari i kemijskih spojeva.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Povezuje čestičnu građu (molekule i formulske jedinke) anorganskih i organskih tvari s njihovim fizikalnim i kemijskim svojstvima.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A.8.3. Kritički razmatra upotrebu tvari i njihov utjecaj na čovjekovo zdravlje i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Kritički razmatra upotrebu tvari i njihov utjecaj na čovjekovo zdravlje i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B.8.1. Primjenjuje kemijsko nazivlje i simboliku za opisivanje promjena.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Razlikuje fizikalne i kemijske promjene opisane kemijskim nazivljem i simbolikom.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Jednadžbama kemijske reakcije prikazuje kemijske promjene. Označava agregacijska stanja tvari u kemijskim jednadžbama.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Iskazuje kvalitativno i kvantitativno značenje jednadžbe kemijskih reakcija.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Povezuje jednadžbu kemijske reakcije sa zakonom o očuvanju mase.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Koristi se kemijskim nazivljem i simbolikom za objašnjavanje promjena na makroskopskoj i čestičnoj razini.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B.8.2. Analizira vrste kemijskih reakcija.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Objašnjava kemijske promjene na primjerima reakcija organskih tvari.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C.8.1. Analizira izmjene energije pri fizikalnim i kemijskim promjenama na čestičnoj razini.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Opisuje pretvorbe i izmjene energije pri fizikalnim i kemijskim promjenama na primjerima kemijskih reakcja.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Analizira pretvorbe i izmjene energije pri fizikalnim i kemijskim promjenama na čestičnoj razini.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C.8.2. Procjenjuje učinkovitost i utjecaj različitih izvora energije na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Zaključuje o prednostima i nedostatcima različitih izvora energije (fosilna goriva, alternativni izvori energije).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Navodi prednosti i nedostatke različitih izvora energije.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Analizira iskoristivost i rasap energije pri različitim pretvorbama. Objašnjava utjecaj odgovorne i neodgovorne uporabe fosilnih goriva na okoliš.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Uspoređuje različite izvore energije na temelju njihove energijske učinkovitosti.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Analizira utjecaj izvora energije na okoliš te uzroke i posljedice trošenja ozona u atmosferi.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D.8.1. Povezuje rezultate i zaključke istraživanja s konceptualnim spoznajama.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D.8.3. Uočava zakonitosti uopćavanjem podataka prikazanih tekstom, crtežom, modelima,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podatke prikupljene pokusima i/ili radom na tekstu, novim tekstom, tablicama i grafovima.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Interpretira različite vrste brojčanih, tabličnih i grafičkih podataka te prenosi jednu vrstu prikaza u drugu.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Prikazuje modelima čestičnu građu tvari.</w:t>
            </w:r>
          </w:p>
        </w:tc>
        <w:tc>
          <w:tcPr>
            <w:tcW w:w="4058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3.1. Učenik samostalno odabire odgovarajuću digitalnu tehnologiju.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A 3.2. Učenik se samostalno koristi raznim uređajima i programima.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ikt C 3.3. Učenik samostalno ili uz manju pomoć učitelja procjenjuje i odabire potrebne informacije između pronađenih informacija.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A.3.1. Objašnjava osnovne sastavnice prirodne raznolikosti.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Integrirana nastava (Priroda, Biologija, Geografija, Kemija, Matematika, Informatika): analizira, izračunava i prikazuje podatke tablicama i dijagramima, uspoređuje i analizira rezultate; navodi primjere uočene u svom gradu/sredini uspoređujući ih s primjerima u Europi i svijetu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A.3.3. Razmatra uzroke ugroženosti prirode.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Kemija: onečišćenje tla, vode i zraka (kisele kiše, staklenički plinovi, pesticidi...)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A.3.4. Objašnjava povezanost ekonomskih aktivnosti sa stanjem u okolišu i društvu.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odr C.3.1. Može objasniti kako stanje u okolišu utječe na dobrobit.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Integrirana nastava (Biologija, Kemija, Fizika, Geografija, Matematika, Informatika, Hrvatski jezik/MPT Uporaba informacijske i komunikacijske tehnologije): različitim metodama rada i prikupljanjem podataka (statističkih podataka, podataka prikupljenih intervjuiranjem i/ili anketiranjem, analizom zatečenoga stanja na terenu, uočavanjem problema na terenu) o načinu rada poslovnih subjekata u zajednici i njihovim odnosom prema zaštiti okoliša (npr. poštivanje zakonske regulative, pročišćivači vode i sl.); debata o pozitivnim i negativnim utjecajima industrijalizacije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z A.3.2. Opisuje pravilnu prehranu i prepoznaje neprimjerenost redukcijske dijete za dob i razvoj.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- integrirano u Prirodu/Biologiju (dijeta i opasnosti), Kemiju i Fiziku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- suradnja sa stručnom službom škole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- suradnja s timom školske medicine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osr A 3.1. Razvija sliku o sebi.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osr C 3.2. Prepoznaje važnost odgovornosti pojedinca u društvu.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goo C 3.3. Promiče kvalitetu života u lokalnoj zajednici.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3.1. Učenik samostalno traži nove informacije iz različitih izvora, transformira ih u novo znanje i uspješno primjenjuje pri rješavanju problema.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A 4.2. Učenik se koristi različitim strategijama učenja i samostalno ih primjenjuje u ostvarivanju ciljeva učenja i rješavanju problema u svim područjima učenja.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uku B 3.4. Učenik samovrednuje proces učenja i svoje rezultate, procjenjuje ostvareni napredak te na temelju toga planira buduće učenje.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pod B.3.2. Planira i upravlja aktivnostima.</w:t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45.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46.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Kruženje ugljika u prirodi i fosilna goriva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47.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48.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>
          <w:trHeight w:val="646" w:hRule="atLeast"/>
        </w:trPr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49.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Kvalitativni sastav organskih spojeva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>
          <w:trHeight w:val="314" w:hRule="atLeast"/>
        </w:trPr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50.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IV.(6)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51.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 i vježbanje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52.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 i vježbanje;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 xml:space="preserve"> </w:t>
            </w:r>
            <w:r>
              <w:rPr>
                <w:rFonts w:eastAsia="Calibri" w:cs="Calibri" w:cstheme="minorHAnsi"/>
                <w:b w:val="false"/>
                <w:bCs w:val="false"/>
                <w:kern w:val="0"/>
                <w:sz w:val="24"/>
                <w:szCs w:val="24"/>
                <w:lang w:val="hr-HR" w:eastAsia="en-US" w:bidi="ar-SA"/>
              </w:rPr>
              <w:t>Kratka pisana provjera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53.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b/>
                <w:b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Ugljikovodici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54.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55.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56.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Alkoholi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V. (8)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57.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58.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59.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Karboksilne kiseline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60.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61.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62.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Biološki važni spojevi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63.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64.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VI. (6)</w:t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65.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Ponavljanje i vježbanje primjene matematičkih vještina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66.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 xml:space="preserve">Četvrta 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 xml:space="preserve">pisana provjera </w:t>
            </w:r>
            <w:r>
              <w:rPr>
                <w:rFonts w:eastAsia="Calibri" w:cs="Calibri" w:cstheme="minorHAnsi"/>
                <w:b/>
                <w:kern w:val="0"/>
                <w:sz w:val="24"/>
                <w:szCs w:val="24"/>
                <w:lang w:val="hr-HR" w:eastAsia="en-US" w:bidi="ar-SA"/>
              </w:rPr>
              <w:t>znanja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67.</w:t>
            </w:r>
          </w:p>
        </w:tc>
        <w:tc>
          <w:tcPr>
            <w:tcW w:w="244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Analiza pisane provjere i refleksija učenika; prezentacija obrade međupredmetne teme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68.</w:t>
            </w:r>
          </w:p>
        </w:tc>
        <w:tc>
          <w:tcPr>
            <w:tcW w:w="2443" w:type="dxa"/>
            <w:vMerge w:val="restart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Procjena i vrednovanje ostvarivanja odgojno-obrazovnih ishoda i prezentacija međupredmetne teme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b/>
                <w:b/>
                <w:bCs/>
              </w:rPr>
            </w:pPr>
            <w:r>
              <w:rPr>
                <w:rFonts w:eastAsia="Calibri" w:cs="Calibri" w:cstheme="minorHAnsi"/>
                <w:b/>
                <w:bCs/>
                <w:kern w:val="0"/>
                <w:sz w:val="24"/>
                <w:szCs w:val="24"/>
                <w:lang w:val="hr-HR" w:eastAsia="en-US" w:bidi="ar-SA"/>
              </w:rPr>
              <w:t>Zaključivanje ocjena</w:t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69.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  <w:tr>
        <w:trPr/>
        <w:tc>
          <w:tcPr>
            <w:tcW w:w="1244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1700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73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eastAsia="Calibri" w:cs="Calibri" w:cstheme="minorHAnsi"/>
                <w:kern w:val="0"/>
                <w:sz w:val="24"/>
                <w:szCs w:val="24"/>
                <w:lang w:val="hr-HR" w:eastAsia="en-US" w:bidi="ar-SA"/>
              </w:rPr>
              <w:t>70.</w:t>
            </w:r>
          </w:p>
        </w:tc>
        <w:tc>
          <w:tcPr>
            <w:tcW w:w="2443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5335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  <w:tc>
          <w:tcPr>
            <w:tcW w:w="4058" w:type="dxa"/>
            <w:vMerge w:val="continue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cs="Calibri" w:cstheme="minorHAnsi"/>
                <w:sz w:val="24"/>
                <w:szCs w:val="24"/>
              </w:rPr>
            </w:pPr>
            <w:r>
              <w:rPr>
                <w:rFonts w:cs="Calibri" w:cstheme="minorHAnsi"/>
                <w:sz w:val="22"/>
                <w:szCs w:val="24"/>
              </w:rPr>
            </w:r>
          </w:p>
        </w:tc>
      </w:tr>
    </w:tbl>
    <w:p>
      <w:pPr>
        <w:pStyle w:val="Normal"/>
        <w:spacing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240" w:after="200"/>
        <w:rPr>
          <w:rFonts w:ascii="Arial" w:hAnsi="Arial" w:cs="Arial"/>
          <w:i/>
          <w:i/>
        </w:rPr>
      </w:pPr>
      <w:r>
        <w:rPr>
          <w:rFonts w:cs="Arial" w:ascii="Arial" w:hAnsi="Arial"/>
          <w:i/>
        </w:rPr>
        <w:t>Literatura: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  <w:t xml:space="preserve">1. Sanja Lukić, Ivana Marić Zerdun, Sandra Krmpotić Gržančić, Marijan Varga, Dunja Maričević: </w:t>
      </w:r>
      <w:r>
        <w:rPr>
          <w:rFonts w:cs="Arial" w:ascii="Arial" w:hAnsi="Arial"/>
          <w:b/>
        </w:rPr>
        <w:t>KEMIJA 8</w:t>
      </w:r>
      <w:r>
        <w:rPr>
          <w:rFonts w:cs="Arial" w:ascii="Arial" w:hAnsi="Arial"/>
        </w:rPr>
        <w:t>, udžbenik kemije u osmom razredu osnovne škole, Školska knjiga, Zagreb, 2. izdanje, 2021.</w:t>
      </w:r>
    </w:p>
    <w:p>
      <w:pPr>
        <w:pStyle w:val="Normal"/>
        <w:spacing w:before="0" w:after="200"/>
        <w:rPr>
          <w:rFonts w:ascii="Arial" w:hAnsi="Arial" w:cs="Arial"/>
        </w:rPr>
      </w:pPr>
      <w:r>
        <w:rPr>
          <w:rFonts w:cs="Arial" w:ascii="Arial" w:hAnsi="Arial"/>
        </w:rPr>
        <w:t xml:space="preserve">2. Sanja Lukić, Sandra Krmpotić Gržančić, Marijan Varga. Ivana Marić Zerdun: </w:t>
      </w:r>
      <w:r>
        <w:rPr>
          <w:rFonts w:cs="Arial" w:ascii="Arial" w:hAnsi="Arial"/>
          <w:b/>
        </w:rPr>
        <w:t>KEMIJA 8</w:t>
      </w:r>
      <w:r>
        <w:rPr>
          <w:rFonts w:cs="Arial" w:ascii="Arial" w:hAnsi="Arial"/>
        </w:rPr>
        <w:t>, radna bilježnica za kemiju u osmom razredu osnovne škole, Školska knjiga, Zagreb, 4. izdanje, 2023.</w:t>
      </w:r>
    </w:p>
    <w:sectPr>
      <w:footerReference w:type="default" r:id="rId2"/>
      <w:type w:val="nextPage"/>
      <w:pgSz w:orient="landscape" w:w="16838" w:h="11906"/>
      <w:pgMar w:left="1417" w:right="1417" w:gutter="0" w:header="0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532985669"/>
    </w:sdtPr>
    <w:sdtContent>
      <w:p>
        <w:pPr>
          <w:pStyle w:val="Podnoje"/>
          <w:jc w:val="right"/>
          <w:rPr/>
        </w:pPr>
        <w:r>
          <w:rPr/>
        </w:r>
      </w:p>
    </w:sdtContent>
  </w:sdt>
  <w:p>
    <w:pPr>
      <w:pStyle w:val="Podnoje"/>
      <w:rPr>
        <w:rFonts w:ascii="Arial" w:hAnsi="Arial" w:cs="Arial"/>
        <w:sz w:val="18"/>
        <w:szCs w:val="18"/>
      </w:rPr>
    </w:pPr>
    <w:r>
      <w:rPr>
        <w:rFonts w:cs="Arial" w:ascii="Arial" w:hAnsi="Arial"/>
        <w:sz w:val="18"/>
        <w:szCs w:val="18"/>
      </w:rPr>
    </w:r>
  </w:p>
</w:ftr>
</file>

<file path=word/settings.xml><?xml version="1.0" encoding="utf-8"?>
<w:settings xmlns:w="http://schemas.openxmlformats.org/wordprocessingml/2006/main">
  <w:zoom w:percent="110"/>
  <w:embedTrueTypeFonts/>
  <w:defaultTabStop w:val="708"/>
  <w:autoHyphenation w:val="true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41928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uiPriority w:val="99"/>
    <w:qFormat/>
    <w:rsid w:val="00271d45"/>
    <w:rPr/>
  </w:style>
  <w:style w:type="character" w:styleId="FooterChar" w:customStyle="1">
    <w:name w:val="Footer Char"/>
    <w:basedOn w:val="DefaultParagraphFont"/>
    <w:uiPriority w:val="99"/>
    <w:qFormat/>
    <w:rsid w:val="00271d45"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Default" w:customStyle="1">
    <w:name w:val="Default"/>
    <w:qFormat/>
    <w:rsid w:val="00a4192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hr-HR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Zaglavlje">
    <w:name w:val="Header"/>
    <w:basedOn w:val="Normal"/>
    <w:link w:val="HeaderChar"/>
    <w:uiPriority w:val="99"/>
    <w:unhideWhenUsed/>
    <w:rsid w:val="00271d4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FooterChar"/>
    <w:uiPriority w:val="99"/>
    <w:unhideWhenUsed/>
    <w:rsid w:val="00271d45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f2e4b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4192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Application>Edit_Docx_PLUS/7.4.0.3$Windows_X86_64 LibreOffice_project/</Application>
  <AppVersion>15.0000</AppVersion>
  <Pages>8</Pages>
  <Words>2137</Words>
  <Characters>14000</Characters>
  <CharactersWithSpaces>15875</CharactersWithSpaces>
  <Paragraphs>270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2018-06-27T09:46:00Z</dcterms:created>
  <dc:creator>gbukan</dc:creator>
  <dc:description/>
  <dc:language>hr-HR</dc:language>
  <cp:lastModifiedBy/>
  <cp:lastPrinted>2020-02-17T10:08:00Z</cp:lastPrinted>
  <dcterms:modified xsi:type="dcterms:W3CDTF">2024-12-05T15:57:03Z</dcterms:modified>
  <cp:revision>58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